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  <w:lang w:eastAsia="zh-CN"/>
        </w:rPr>
        <w:t>中共社旗县委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  <w:lang w:val="en-US" w:eastAsia="zh-CN"/>
        </w:rPr>
        <w:t xml:space="preserve">  社旗县人民政府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方正小标宋简体" w:eastAsia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关于建立完善文明城市常态化创建工作机制的意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见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2022年3月6日）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为进一步巩固提升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河南省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文明城市创建成果，把文明城市创建标准转化为全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各级各部门常态长效工作目标，建立健全长效机制，推动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社旗县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文明城市创建工作制度化、规范化、常态化，制定本意见。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u w:val="none"/>
        </w:rPr>
        <w:t>一、总体要求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以习近平新时代中国特色社会主义思想为指导，深入贯彻落实习近平总书记视察调研南阳重要讲话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和指示精神以及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党的十九届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历次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全会、省第十一次党代会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市第七次党代会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、县第十一次党代会精神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，深化文明城市创建工作，坚持创建为民、创建惠民、创建靠民，坚持目标导向、效果导向、问题导向、效率导向，建立“四项机制”、开展“四项行动”、强化“四项保障”，创新方式方法、凝聚创建合力，实现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文明城市创建工作常态化，全面提升创建工作水平，为我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县融入南阳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建设河南省副中心城市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大局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提供有力支撑。</w:t>
      </w:r>
    </w:p>
    <w:p>
      <w:pPr>
        <w:widowControl w:val="0"/>
        <w:wordWrap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u w:val="none"/>
        </w:rPr>
        <w:t>二、建立四项机制</w:t>
      </w:r>
    </w:p>
    <w:p>
      <w:pPr>
        <w:widowControl w:val="0"/>
        <w:wordWrap/>
        <w:snapToGrid/>
        <w:spacing w:before="0" w:after="0" w:line="540" w:lineRule="exact"/>
        <w:ind w:left="0" w:leftChars="0" w:right="0" w:firstLine="627" w:firstLineChars="196"/>
        <w:textAlignment w:val="auto"/>
        <w:outlineLvl w:val="9"/>
        <w:rPr>
          <w:rFonts w:ascii="楷体_GB2312" w:hAnsi="黑体" w:eastAsia="楷体_GB2312"/>
          <w:b w:val="0"/>
          <w:bCs/>
          <w:sz w:val="32"/>
          <w:szCs w:val="32"/>
          <w:u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（一）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级领导联系分包创建机制</w:t>
      </w:r>
    </w:p>
    <w:p>
      <w:pPr>
        <w:widowControl w:val="0"/>
        <w:wordWrap/>
        <w:snapToGrid/>
        <w:spacing w:before="0" w:after="0" w:line="540" w:lineRule="exact"/>
        <w:ind w:left="0" w:leftChars="0" w:right="0" w:firstLine="627" w:firstLineChars="196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实行县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级领导联系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乡镇（街道）、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分包中心城区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社区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）常态化创建工作责任制。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级领导在牵头抓好分管联系单位创建工作重点项目、重点任务的同时，每月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上旬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深入到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乡镇（街道）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社区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）现场办公，协调解决创建中存在的困难和问题，督促推动各级各部门履职尽责，不断巩固提升创建工作水平。</w:t>
      </w:r>
    </w:p>
    <w:p>
      <w:pPr>
        <w:widowControl w:val="0"/>
        <w:wordWrap/>
        <w:snapToGrid/>
        <w:spacing w:before="0" w:after="0" w:line="540" w:lineRule="exact"/>
        <w:ind w:left="0" w:leftChars="0" w:right="0" w:firstLine="627" w:firstLineChars="196"/>
        <w:textAlignment w:val="auto"/>
        <w:outlineLvl w:val="9"/>
        <w:rPr>
          <w:rFonts w:ascii="楷体_GB2312" w:hAnsi="黑体" w:eastAsia="楷体_GB2312"/>
          <w:b w:val="0"/>
          <w:bCs/>
          <w:sz w:val="32"/>
          <w:szCs w:val="32"/>
          <w:u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（二）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  <w:lang w:val="en-US" w:eastAsia="zh-CN"/>
        </w:rPr>
        <w:t>党建引领，文明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单位与社区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网格联建机制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</w:pPr>
      <w:r>
        <w:rPr>
          <w:rFonts w:ascii="仿宋_GB2312" w:hAnsi="黑体" w:eastAsia="仿宋_GB2312"/>
          <w:b w:val="0"/>
          <w:bCs/>
          <w:sz w:val="32"/>
          <w:szCs w:val="32"/>
          <w:u w:val="none"/>
        </w:rPr>
        <w:t>1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中心城区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实行网格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化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管理。坚持党建引领，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加强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社区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基层自治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，实施全科网格化管理，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成立创建文明城市联合党组织，加强对网格化管理和创建的组织领导；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以社区（行政村）为单元，将中心城区范围内的所有小区、居民楼院、机关庭院、主次干道、背街小巷、交通路口等纳入社区网格化管理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县直市级以上文明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单位分包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14个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社区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网格，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县直各单位在网格内按照路段划分继续实施路长制，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共同参与文明城市创建工作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发挥各级党组织、党员、网格员、执法队员作用，常态化开展风险隐患排查整治，牢牢守住常态化疫情防控、安全生产、舆情引导、反恐维稳、信访稳定等工作底线，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确保实现“三不五零”（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不生事、不出乱、不出格，零上访、零案件、零事故、零舆情、零疫情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层层结对联建。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建立以社区（行政村）为主、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市以上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和县直单位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帮建工作责任制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联建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单位与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中心城区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社区（行政村）结对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连片创建、同创共建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乡镇（街道）所属各级文明单位参照县直结对联建办法，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细化单元网格（小区楼院）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责任制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实现单位全覆盖、创建无缝隙、工作无死角。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夯实联建责任。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各联建单位按照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社旗县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文明城市常态化创建工作要求，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开展志愿服务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，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协助规范网格内环境卫生、公共秩序等，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与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乡镇（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街道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、社区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共同承担创建责任。每个单位都要成立联建工作组，单位主要负责同志为联建第一责任人，明确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名主管副职为直接责任人，在高标准做好本单位家属院文明创建工作的同时，每周定期到联建网格协助社区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解决存在问题，每个单位相对固定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－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5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人组成工作专班，常态化开展联建活动。各单位要全员参与，同所包联社区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一起开展创建活动，确保网格内每条道路、每个楼院都有责任人。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楷体_GB2312" w:hAnsi="黑体" w:eastAsia="楷体_GB2312"/>
          <w:b w:val="0"/>
          <w:bCs/>
          <w:sz w:val="32"/>
          <w:szCs w:val="32"/>
          <w:u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（三）常态化考评机制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从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2022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月份开始，对各级各单位文明城市创建工作实行周自评、月通报、季考评、年总评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考评制度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一是周自评。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各级各单位根据承担的创建工作任务，围绕创建任务落实情况、工作进度、上级督查问题整改情况等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每周进行自评，推动各项创建任务有效落实。自评结果报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县创建文明城市工作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（以下简称县指挥部）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和县创建文明城市网格化管理联合党委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二是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月通报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。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依据创建工作标准，每月按照三分之一左右的比例对社区（行政村）网格和实地考察点位进行抽查，根据任务完成情况和日常督查情况进行量化打分，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进行月通报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三是季考评。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每年</w:t>
      </w:r>
      <w:r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  <w:t>3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月、</w:t>
      </w:r>
      <w:r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  <w:t>6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月、</w:t>
      </w:r>
      <w:r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  <w:t>9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月、</w:t>
      </w:r>
      <w:r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  <w:t>12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月由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指挥部按照百分制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对创建工作情况进行</w:t>
      </w:r>
      <w:r>
        <w:rPr>
          <w:rFonts w:ascii="新宋体" w:hAnsi="新宋体" w:eastAsia="仿宋_GB2312" w:cs="仿宋_GB2312"/>
          <w:b w:val="0"/>
          <w:bCs/>
          <w:sz w:val="32"/>
          <w:szCs w:val="32"/>
          <w:u w:val="none"/>
        </w:rPr>
        <w:t>4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次综合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考评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与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月通报结果相结合，分别排名排序，召开讲评会，通报考评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结果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四是年总评。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以四个季度平均成绩为基数，综合省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年度测评反馈情况，以及领导批示、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指挥部通报、媒体监督、市民投诉等情况，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分别排名排序，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召开年度创建讲评会，通报考评结果，实施年度奖惩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考评对象及排名办法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一是对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中心城区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社区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（行政村）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的考评。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依据社区创建工作标准，每季度对中心城区社区（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村）进行全面考评，评出“好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差”三个档次。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二是对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乡镇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（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街道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）的考评。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依据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乡镇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（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街道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创建工作标准，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以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  <w:lang w:val="en-US" w:eastAsia="zh-CN"/>
        </w:rPr>
        <w:t>中心城区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社区（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村）考评成绩的加权平均值为依据，对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个乡镇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街道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分别进行排序，评出“好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差”三个档次。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left"/>
        <w:textAlignment w:val="auto"/>
        <w:outlineLvl w:val="9"/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三是对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直单位的考评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hint="default" w:ascii="仿宋_GB2312" w:eastAsia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黑体" w:eastAsia="仿宋_GB2312"/>
          <w:b w:val="0"/>
          <w:bCs/>
          <w:sz w:val="32"/>
          <w:szCs w:val="32"/>
          <w:u w:val="none"/>
        </w:rPr>
        <w:t>直联建单位。县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直联建单位的成绩由联建社区网格的考评成绩和联建工作情况组成，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直单位参与联建工作情况由社区提供，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指挥部抽查。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路长制单位考核由县指挥部进行。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承担重点任务的单位。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委宣传部、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委政法委、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城管局、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公安局、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市场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  <w:lang w:eastAsia="zh-CN"/>
        </w:rPr>
        <w:t>监督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管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  <w:lang w:eastAsia="zh-CN"/>
        </w:rPr>
        <w:t>理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教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  <w:lang w:val="en-US" w:eastAsia="zh-CN"/>
        </w:rPr>
        <w:t>体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住建局、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农业农村局、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交通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  <w:lang w:eastAsia="zh-CN"/>
        </w:rPr>
        <w:t>运输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卫健委、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文广旅游局、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民政局、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水利局、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应急管理局、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自然资源局、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退役军人事务局、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政务和大数据服务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中心、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科协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单位，承担着创建工作的重要任务。每季度综合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考核成绩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以及领导批示、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指挥部通报、媒体监督、市民投诉等情况，进行排名排序，评出“好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差”三个档次。</w:t>
      </w:r>
    </w:p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承担其他任务的单位。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新华书店、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供电公司、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联通公司、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移动公司、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电信公司、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邮政公司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县农业银行、县建设银行、县邮储银行、县农商银行、县中原银行、县村镇银行、县中国银行、县工商银行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等单位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，承担着实地考察的相关工作任务。每半年综合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考核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以及领导批示、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指挥部通报、媒体监督、市民投诉等情况，进行排名排序，评出“好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差”三个档次。</w:t>
      </w:r>
    </w:p>
    <w:p>
      <w:pPr>
        <w:widowControl w:val="0"/>
        <w:shd w:val="clear" w:color="auto" w:fill="FFFFFF"/>
        <w:wordWrap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制定文明城市材料收集整理考评办法，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对承担网报材料任务的单位，根据任务完成情况进行浮动加减分。</w:t>
      </w:r>
    </w:p>
    <w:p>
      <w:pPr>
        <w:widowControl w:val="0"/>
        <w:shd w:val="clear" w:color="auto" w:fill="FFFFFF"/>
        <w:wordWrap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ascii="仿宋_GB2312" w:hAnsi="仿宋" w:eastAsia="仿宋_GB2312" w:cs="仿宋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以上各类部门、单位具体考评细则由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指挥部另行制定并组织实施。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楷体_GB2312" w:hAnsi="黑体" w:eastAsia="楷体_GB2312"/>
          <w:b w:val="0"/>
          <w:bCs/>
          <w:sz w:val="32"/>
          <w:szCs w:val="32"/>
          <w:u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u w:val="none"/>
        </w:rPr>
        <w:t>（四）“四个挂钩”工作机制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把文明城市创建工作纳入领导班子考核、绩效考评，纳入文明单位（含村镇、校园、社区、景区，下同）创建工作管理，实行与文明单位评选挂钩，与文明城市奖、文明单位奖、平时考核奖挂钩，与领导班子考核挂钩，与干部提拔使用挂钩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ascii="仿宋_GB2312" w:eastAsia="仿宋_GB2312"/>
          <w:b w:val="0"/>
          <w:bCs/>
          <w:sz w:val="32"/>
          <w:szCs w:val="32"/>
          <w:u w:val="none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与文明单位评选挂钩。创建工作年度综合考评“好”的单位，在文明单位申报、评选、晋级中优先考虑。年度综合考评“差”的单位，在文明单位年度复查中扣5分，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按程序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给予通报批评、限期整改、警告直至撤销荣誉称号。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ascii="仿宋_GB2312" w:eastAsia="仿宋_GB2312"/>
          <w:b w:val="0"/>
          <w:bCs/>
          <w:sz w:val="32"/>
          <w:szCs w:val="32"/>
          <w:u w:val="none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与文明城市奖、文明单位奖挂钩。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季度考评被评定为“差”的文明单位，停发该单位一个季度文明单位奖金。连续两个季度考评被评定为“差”的文明单位，停发该单位两个季度文明单位奖金。连续三个季度考评被评定为“差”的文明单位，扣发一年度文明单位奖金。年终总评成绩被评定为“差”的文明单位，停发文明城市奖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金（当年已被扣发文明城市奖的单位不再重复扣发）。</w:t>
      </w:r>
    </w:p>
    <w:p>
      <w:pPr>
        <w:widowControl w:val="0"/>
        <w:shd w:val="clear" w:color="auto" w:fill="FFFFFF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ascii="仿宋_GB2312" w:eastAsia="仿宋_GB2312"/>
          <w:b w:val="0"/>
          <w:bCs/>
          <w:sz w:val="32"/>
          <w:szCs w:val="32"/>
          <w:u w:val="none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与领导班子考核挂钩。创建工作年度综合考评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被评定为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“好”的单位，领导班子优先确定为优秀班子，单位年度优秀指标上浮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5%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。年度综合考评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被评定为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“差”的单位，领导班子不得确定为优秀班子，单位年度优秀指标下浮10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%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。</w:t>
      </w:r>
    </w:p>
    <w:p>
      <w:pPr>
        <w:widowControl w:val="0"/>
        <w:shd w:val="clear" w:color="auto" w:fill="FFFFFF"/>
        <w:wordWrap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ascii="仿宋_GB2312" w:eastAsia="仿宋_GB2312"/>
          <w:b w:val="0"/>
          <w:bCs/>
          <w:sz w:val="32"/>
          <w:szCs w:val="32"/>
          <w:u w:val="none"/>
        </w:rPr>
        <w:t>4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与干部提拔使用挂钩。创建工作年度综合考评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被评定为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“好”的单位，在干部选拔任用、职级晋升中予以倾斜。在创建工作中作出突出贡献的个人，在干部提拔任用时优先考虑。季度考评、年度综合考评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被评定为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“差”的单位，整改期内，暂缓干部提拔、进一步使用、晋升职级，直至退出落后行列。</w:t>
      </w:r>
    </w:p>
    <w:p>
      <w:pPr>
        <w:widowControl w:val="0"/>
        <w:shd w:val="clear" w:color="auto" w:fill="FFFFFF"/>
        <w:wordWrap/>
        <w:snapToGrid/>
        <w:spacing w:before="0" w:after="0"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垂直管理单位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年终总评成绩被评定为“差”的，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由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指挥部函告其上级主管单位督促整改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垂直管理单位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文明单位的，建议停发文明单位奖，直至整改达标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hAnsi="黑体" w:eastAsia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u w:val="none"/>
        </w:rPr>
        <w:t>三、开展四项行动</w:t>
      </w:r>
    </w:p>
    <w:p>
      <w:pPr>
        <w:widowControl w:val="0"/>
        <w:shd w:val="clear" w:color="auto" w:fill="FFFFFF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FF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zh-CN"/>
        </w:rPr>
        <w:t>按照创建工作要求，聚焦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难点、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点、堵点和主要失分点，重点开展四项提升行动，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指挥部定期组织专项考评，实施奖惩，推动文明城市创建提质增效。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highlight w:val="red"/>
          <w:u w:val="none"/>
        </w:rPr>
      </w:pPr>
      <w:r>
        <w:rPr>
          <w:rFonts w:hint="eastAsia" w:ascii="楷体_GB2312" w:hAnsi="仿宋" w:eastAsia="楷体_GB2312" w:cs="仿宋"/>
          <w:b w:val="0"/>
          <w:bCs/>
          <w:sz w:val="32"/>
          <w:szCs w:val="32"/>
          <w:u w:val="none"/>
          <w:lang w:val="zh-CN"/>
        </w:rPr>
        <w:t>（一）文明交通提升行动。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加强交通法规宣传教育，实施严管重罚，强化市民文明交通意识，着力打造安全畅通、文明有序的交通秩序。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一是组织专项行动。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由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公安局牵头，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赊店镇、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赵河街道、潘河街道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配合，每年</w:t>
      </w:r>
      <w:r>
        <w:rPr>
          <w:rFonts w:ascii="仿宋_GB2312" w:hAnsi="仿宋" w:eastAsia="仿宋_GB2312" w:cs="仿宋"/>
          <w:b w:val="0"/>
          <w:bCs/>
          <w:sz w:val="32"/>
          <w:szCs w:val="32"/>
          <w:u w:val="none"/>
        </w:rPr>
        <w:t>4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月、</w:t>
      </w:r>
      <w:r>
        <w:rPr>
          <w:rFonts w:ascii="仿宋_GB2312" w:hAnsi="仿宋" w:eastAsia="仿宋_GB2312" w:cs="仿宋"/>
          <w:b w:val="0"/>
          <w:bCs/>
          <w:sz w:val="32"/>
          <w:szCs w:val="32"/>
          <w:u w:val="none"/>
        </w:rPr>
        <w:t>9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月组织开展两次“交通秩序集中整治月”活动，重点整治车辆乱停乱放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、随意调头，公交车、出租车随意变道、停车，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非机动车逆行、机非混行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闯红灯；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行人闯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红灯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、横穿马路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等突出问题。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二是实施常态治理。常态化治理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不文明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交通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行为，做到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不闯红灯、不占压黄线、不乱停乱放、不随意停车、不随意调头、不乱穿马路、不翻越护栏、不违规逆行、不随意变道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抓好城区内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主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次干道、背街小巷机动车停放。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三是注重文明实践。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广泛开展“小手拉大手、文明齐步走”等主题实践活动，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加强交通法规的宣传教育，引导市民自觉养成文明出行良好习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惯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（牵头单位：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公安局，责任单位：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委宣传部、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教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体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局、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交通运输局，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赊店镇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赵河街道、潘河街道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）</w:t>
      </w:r>
    </w:p>
    <w:p>
      <w:pPr>
        <w:widowControl w:val="0"/>
        <w:wordWrap/>
        <w:adjustRightInd w:val="0"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</w:pPr>
      <w:r>
        <w:rPr>
          <w:rFonts w:hint="eastAsia" w:ascii="楷体_GB2312" w:hAnsi="仿宋" w:eastAsia="楷体_GB2312" w:cs="仿宋"/>
          <w:b w:val="0"/>
          <w:bCs/>
          <w:sz w:val="32"/>
          <w:szCs w:val="32"/>
          <w:u w:val="none"/>
          <w:lang w:val="zh-CN"/>
        </w:rPr>
        <w:t>（二）市容环境提升行动。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以“清洁城市、美化家园”专项攻坚行动为起点，大力开展市容环境提升行动。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一是开展清洁行动。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每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周五下午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为“环境卫生清洁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”，由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城管局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牵头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赊店镇、赵河街道、潘河街道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负责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，定期组织开展城市清洁行动，确保环卫保洁全覆盖、无缝隙、常态化。</w:t>
      </w:r>
      <w:r>
        <w:rPr>
          <w:rFonts w:hint="eastAsia" w:ascii="仿宋_GB2312" w:hAnsi="仿宋" w:eastAsia="仿宋_GB2312" w:cs="楷体_GB2312"/>
          <w:b w:val="0"/>
          <w:bCs/>
          <w:sz w:val="32"/>
          <w:szCs w:val="32"/>
          <w:u w:val="none"/>
        </w:rPr>
        <w:t>二是全面整治城市乱象。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每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月1-5日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开展城市乱象治理行动，以城市出入口、城中村、城乡结合部、背街小巷、农贸市场等区域为重点，大力整治乱堆乱倒、乱搭乱建、乱贴乱画、乱停乱放、乱扯乱挂、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占道经营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等城市乱象。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沿街建筑立面要整齐划一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阳台要种养花木，禁止堆放杂物。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城管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执法部门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要定人定网格定责任，督导落实“门前五包”，持续整治，全面消除各类市容乱象。</w:t>
      </w:r>
      <w:r>
        <w:rPr>
          <w:rFonts w:hint="eastAsia" w:ascii="仿宋_GB2312" w:hAnsi="仿宋" w:eastAsia="仿宋_GB2312" w:cs="楷体_GB2312"/>
          <w:b w:val="0"/>
          <w:bCs/>
          <w:sz w:val="32"/>
          <w:szCs w:val="32"/>
          <w:u w:val="none"/>
        </w:rPr>
        <w:t>三是开展不文明养犬专项治理。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zh-CN"/>
        </w:rPr>
        <w:t>每季度开展一次集中治理行动，大力治理遛狗不牵狗绳、不清理粪便等行为，及时收容流浪狗。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（牵头单位：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城管局，责任单位：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赊店镇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赵河街道、潘河街道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</w:rPr>
      </w:pPr>
      <w:r>
        <w:rPr>
          <w:rFonts w:hint="eastAsia" w:ascii="楷体_GB2312" w:hAnsi="仿宋" w:eastAsia="楷体_GB2312" w:cs="仿宋"/>
          <w:b w:val="0"/>
          <w:bCs/>
          <w:sz w:val="32"/>
          <w:szCs w:val="32"/>
          <w:u w:val="none"/>
          <w:lang w:val="zh-CN"/>
        </w:rPr>
        <w:t>（三）农贸市场提升行动。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紧贴民生需求，完善网点布局，强化经营管理，着力提升市民生活便利度。</w:t>
      </w:r>
      <w:r>
        <w:rPr>
          <w:rFonts w:hint="eastAsia" w:ascii="仿宋_GB2312" w:hAnsi="楷体" w:eastAsia="仿宋_GB2312" w:cs="楷体"/>
          <w:b w:val="0"/>
          <w:bCs/>
          <w:sz w:val="32"/>
          <w:szCs w:val="32"/>
          <w:u w:val="none"/>
          <w:lang w:val="zh-CN"/>
        </w:rPr>
        <w:t>一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是规范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经营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秩序。加强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市场规范管理，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功能分区合理，服务设施完善，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货品明码标价，亮证经营，公平交易，礼貌待客，实现文明经营、诚信经营、守法经营。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改造提升中心城区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香山路农贸市场、县中心农贸市场，合理规划便民摊点和菜店，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根治马路市场、流动摊贩、占道经营等顽疾。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是优化周边环境。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持续治理市场周边环境，确保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市容整洁规范，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卫生保洁及时，车辆停放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有序。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三是加强蔬菜农药残留检测，适时对检测结果进行公示。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（牵头单位：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县城管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局，责任单位：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县市场监督管理局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县农业农村局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赊店镇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赵河街道、潘河街道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</w:pPr>
      <w:r>
        <w:rPr>
          <w:rFonts w:hint="eastAsia" w:ascii="楷体_GB2312" w:hAnsi="楷体" w:eastAsia="楷体_GB2312" w:cs="楷体"/>
          <w:b w:val="0"/>
          <w:bCs/>
          <w:sz w:val="32"/>
          <w:szCs w:val="32"/>
          <w:u w:val="none"/>
          <w:lang w:val="zh-CN"/>
        </w:rPr>
        <w:t>（四）乡</w:t>
      </w:r>
      <w:r>
        <w:rPr>
          <w:rFonts w:hint="eastAsia" w:ascii="楷体_GB2312" w:hAnsi="楷体" w:eastAsia="楷体_GB2312" w:cs="楷体"/>
          <w:b w:val="0"/>
          <w:bCs/>
          <w:sz w:val="32"/>
          <w:szCs w:val="32"/>
          <w:u w:val="none"/>
        </w:rPr>
        <w:t>村</w:t>
      </w:r>
      <w:r>
        <w:rPr>
          <w:rFonts w:hint="eastAsia" w:ascii="楷体_GB2312" w:hAnsi="楷体" w:eastAsia="楷体_GB2312" w:cs="楷体"/>
          <w:b w:val="0"/>
          <w:bCs/>
          <w:sz w:val="32"/>
          <w:szCs w:val="32"/>
          <w:u w:val="none"/>
          <w:lang w:val="zh-CN"/>
        </w:rPr>
        <w:t>环境提升行动。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坚持以城带乡、城乡一体、全域创建，以乡村建设行动和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eastAsia="zh-CN"/>
        </w:rPr>
        <w:t>农村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人居环境整治为重点，推进城乡统筹发展。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一是开展集中行动。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结合乡村环境治理常态化，每月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1 -5日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开展一次集中行动，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重点整治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过境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道路沿线、村镇区域乱堆乱放、乱倒乱扔、乱搭乱建等乱象，确保环境整洁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规范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秩序井然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有序。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u w:val="none"/>
        </w:rPr>
        <w:t>二是实施绿化亮化。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充分利用闲置土地和道路沿线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植绿增绿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，打造微景观、微田园、微环境，在乡村干道、休闲广场、学校等地段安装路灯，方便群众出行。三是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u w:val="none"/>
        </w:rPr>
        <w:t>加强常态管理。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zh-CN"/>
        </w:rPr>
        <w:t>加强垃圾清运、日常保洁，及时清理村庄周边、道路两侧、庭院四周等垃圾，保持乡村干净、整洁、有序。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牵头单位：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zh-CN"/>
        </w:rPr>
        <w:t>农业农村局，责任单位：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</w:rPr>
        <w:t>乡村振兴局、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各乡镇（街道）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〕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u w:val="none"/>
        </w:rPr>
        <w:t>四、强化四项保障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u w:val="none"/>
        </w:rPr>
        <w:t>（一）强化组织领导。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委常委会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会议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政府常务会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议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每季度至少听取一次</w:t>
      </w:r>
      <w:r>
        <w:rPr>
          <w:rFonts w:hint="eastAsia" w:ascii="仿宋_GB2312" w:hAnsi="????" w:eastAsia="仿宋_GB2312" w:cs="仿宋"/>
          <w:b w:val="0"/>
          <w:bCs/>
          <w:kern w:val="0"/>
          <w:sz w:val="32"/>
          <w:szCs w:val="32"/>
          <w:u w:val="none"/>
          <w:lang w:val="zh-CN"/>
        </w:rPr>
        <w:t>专题汇报，研究解决创建工作遇到的重点难点问题。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乡镇（街道）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直各单位每月至少研究一次创建工作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突出全域党建助推文明城市创建工作重点，在县指挥部设立联合党委，中心城区成立网格化管理联合党支部，小区楼院成立联合党小组，</w:t>
      </w:r>
      <w:r>
        <w:rPr>
          <w:rFonts w:hint="eastAsia" w:ascii="仿宋_GB2312" w:hAnsi="????" w:eastAsia="仿宋_GB2312" w:cs="仿宋"/>
          <w:b w:val="0"/>
          <w:bCs/>
          <w:kern w:val="0"/>
          <w:sz w:val="32"/>
          <w:szCs w:val="32"/>
          <w:u w:val="none"/>
          <w:lang w:val="zh-CN"/>
        </w:rPr>
        <w:t>充实创建人员，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配强工作力量，</w:t>
      </w:r>
      <w:r>
        <w:rPr>
          <w:rFonts w:hint="eastAsia" w:ascii="仿宋_GB2312" w:hAnsi="????" w:eastAsia="仿宋_GB2312" w:cs="仿宋"/>
          <w:b w:val="0"/>
          <w:bCs/>
          <w:kern w:val="0"/>
          <w:sz w:val="32"/>
          <w:szCs w:val="32"/>
          <w:u w:val="none"/>
          <w:lang w:val="zh-CN"/>
        </w:rPr>
        <w:t>确保创建工作统筹协调到位、顶层设计到位、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督导落实到位。定期对创建工作骨干进行全方位、多层次培训，确保各级各部门都有创建工作明白人，为文明城市常态化创建工作提供人才支撑。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u w:val="none"/>
        </w:rPr>
        <w:t>（二）强化经费保障。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建立文明城市创建经费逐年递增机制，将文明城市创建工作经费纳入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乡镇（街道）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两级年度财政预算，足额拨付、专款专用。实施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财政资金以奖代补政策，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各乡镇（街道）也要列出专项资金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，推进创建工作重点项目实施。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u w:val="none"/>
        </w:rPr>
        <w:t>（三）强化宣传引导。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u w:val="none"/>
        </w:rPr>
        <w:t>全面提升市民文明素质，广泛宣传《南阳市文明行为促进条例》，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组织开展文明服务、文明执法、文明经营、文明交通、文明旅游、文明餐桌、文明出行、文明养犬等系列宣传活动。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  <w:lang w:val="en-US"/>
        </w:rPr>
        <w:t>县融媒体中心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持续开设专题专栏，报道创建动态、先进典型，曝光不文明行为。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每个社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行政村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依托新时代文明实践站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都要设立市民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农民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文明学校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家庭教育服务站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每周至少开展1小时的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文明知识教育。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建设社会主义核心价值观主题广场、主题街道、主题游园，制作设置一批体现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  <w:lang w:val="en-US"/>
        </w:rPr>
        <w:t>社旗</w:t>
      </w:r>
      <w:r>
        <w:rPr>
          <w:rStyle w:val="13"/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文化特色的“讲文明、树新风”等公益广告，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引导广大市民群众积极参与文明城市创建，强化城市意识，提高社会文明程度。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u w:val="none"/>
        </w:rPr>
        <w:t>（四）</w:t>
      </w:r>
      <w:r>
        <w:rPr>
          <w:rFonts w:hint="eastAsia" w:ascii="新宋体" w:hAnsi="新宋体" w:eastAsia="楷体_GB2312" w:cs="楷体_GB2312"/>
          <w:b w:val="0"/>
          <w:bCs/>
          <w:sz w:val="32"/>
          <w:szCs w:val="32"/>
          <w:u w:val="none"/>
          <w:shd w:val="clear" w:color="auto" w:fill="FFFFFF"/>
        </w:rPr>
        <w:t>强化督查问责。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指挥部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成立督查问责组，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加强对常态化创建工作的督导检查，发现问题及时督办推进。对创建工作重视不够、推进不力，严重影响整体工作进展的，依据有关规定实施问责。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连续两次被通报批评的，约谈单位主要负责人；三次以上被通报批评的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，单位</w:t>
      </w:r>
      <w:r>
        <w:rPr>
          <w:rFonts w:hint="eastAsia" w:ascii="新宋体" w:hAnsi="新宋体" w:eastAsia="仿宋_GB2312" w:cs="仿宋_GB2312"/>
          <w:b w:val="0"/>
          <w:bCs/>
          <w:sz w:val="32"/>
          <w:szCs w:val="32"/>
          <w:u w:val="none"/>
        </w:rPr>
        <w:t>主要负责人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向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委、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</w:rPr>
        <w:t>政府写出书面检查；年终总评为“差”的，视情对单位相关责任人给予诫勉谈话直至党政纪处分。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乡镇（街道）、县直各单位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可参照本意见，结合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地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本单位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实际，制定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文明村镇、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文明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单位、文明校园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创建工作方案。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附件：1.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社旗县创建文明城市工作指挥部名单</w:t>
      </w:r>
    </w:p>
    <w:p>
      <w:pPr>
        <w:widowControl w:val="0"/>
        <w:wordWrap/>
        <w:snapToGrid/>
        <w:spacing w:before="0" w:after="0" w:line="560" w:lineRule="exact"/>
        <w:ind w:left="0" w:leftChars="0" w:right="0" w:firstLine="640" w:firstLineChars="200"/>
        <w:jc w:val="distribute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</w:rPr>
        <w:t>级领导联系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  <w:lang w:val="en-US" w:eastAsia="zh-CN"/>
        </w:rPr>
        <w:t>乡镇（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</w:rPr>
        <w:t>街道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</w:rPr>
        <w:t>常态化创建工作责任制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pacing w:val="-5"/>
          <w:sz w:val="32"/>
          <w:szCs w:val="32"/>
          <w:u w:val="none"/>
        </w:rPr>
        <w:t>一览表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1441" w:firstLineChars="462"/>
        <w:jc w:val="distribute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3.县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级领导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分包中心城区社区（行政村）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常态化创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478" w:firstLineChars="46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建工作责任制一览表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478" w:firstLineChars="46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此件发至乡局级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）</w:t>
      </w:r>
    </w:p>
    <w:p>
      <w:pPr>
        <w:pStyle w:val="12"/>
        <w:wordWrap/>
        <w:snapToGrid/>
        <w:spacing w:before="0" w:after="0" w:line="560" w:lineRule="exact"/>
        <w:ind w:left="0" w:leftChars="0" w:right="0"/>
        <w:textAlignment w:val="auto"/>
        <w:outlineLvl w:val="9"/>
        <w:rPr>
          <w:b w:val="0"/>
          <w:bCs/>
        </w:rPr>
      </w:pPr>
    </w:p>
    <w:p>
      <w:pPr>
        <w:wordWrap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  <w:u w:val="none"/>
        </w:rPr>
        <w:t>附件1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社旗县创建文明城市工作指挥部名单</w:t>
      </w:r>
    </w:p>
    <w:p>
      <w:pPr>
        <w:pStyle w:val="12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社旗县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创建文明城市工作指挥部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名单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政        委：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张荣印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委书记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指   挥   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关文波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委副书记、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政府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常务副指挥长：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委副书记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执行副指挥长：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赵向龙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委常委、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宣传部部长、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政府副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副  指 挥 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邱国彦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人大常委会主任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政协主席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许晓燕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委常委、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县政府常务副县长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张少瀛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县委常委、县委办公室主任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王金宝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县委常委、县人武部部长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包海竣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县委常委、县委组织部部长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pacing w:val="-9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李淑琳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9"/>
          <w:sz w:val="32"/>
          <w:szCs w:val="32"/>
          <w:u w:val="none"/>
          <w:lang w:val="en-US" w:eastAsia="zh-CN"/>
        </w:rPr>
        <w:t>县委常委、县纪委书记、县监委主任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陈晓鹏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常委、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县委政法委书记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崔振世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委常委、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委统战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县人大常委会副主任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白国辉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县政府副县长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王承磊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县政府副县长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张黎晓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县政府副县长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县政府副县长、县公安局局长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李景元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县政协副主席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王玉合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县二级调研员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指挥部下设办公室，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赵向龙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同志兼任办公室主任。负责指挥部日常工作运行。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成        员：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张东晓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县委办公室副主任、县发改委主任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518" w:firstLineChars="787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任林仲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县政府办公室主任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惠大新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纪委副书记、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监委副主任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委组织部副部长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杨银鹏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委宣传部副部长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梁东升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委政法委副书记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董桂松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县督查中心副主任（主持工作）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张伟斌  县财政局局长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城管局局长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史承晔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县公安局政委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商务局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党组书记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夏中畅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农业农村局局长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李道玺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住建局局长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县教体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交通运输局局长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704" w:firstLineChars="856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谢明伟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卫健委主任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文广旅游局局长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张玉泳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民政局局长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夏文平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县科技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工信局局长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张清凌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县地方史志办副主任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各乡镇（街道）党委（党工委）书记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创建文明城市工作指挥部内设机构和职责分工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u w:val="none"/>
        </w:rPr>
        <w:t>（一）综合组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组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杨银鹏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sz w:val="32"/>
          <w:szCs w:val="32"/>
          <w:u w:val="none"/>
        </w:rPr>
        <w:t>委宣传部副部长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eastAsia="仿宋_GB2312"/>
          <w:b w:val="0"/>
          <w:bCs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侯平江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委宣传部副部长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张清凌  县地方史志办副主任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主要职责：负责常态化创建工作综合协调、业务统筹、会务筹办、后勤保障、问卷调查模拟引导以及各类文字材料起草、网报资料审核等工作。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u w:val="none"/>
        </w:rPr>
        <w:t>（二）督查问责组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-1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组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郭映伦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纪委常委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副 组 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王建伟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县委县政府正科级督查专员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常雍馨  县委宣传部一级主任科员</w:t>
      </w:r>
    </w:p>
    <w:p>
      <w:pPr>
        <w:pStyle w:val="12"/>
        <w:wordWrap/>
        <w:adjustRightInd/>
        <w:snapToGrid/>
        <w:spacing w:before="0" w:after="0" w:line="560" w:lineRule="exact"/>
        <w:ind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</w:rPr>
        <w:t>纪委监委驻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</w:rPr>
        <w:t>委宣传部纪检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  <w:lang w:eastAsia="zh-CN"/>
        </w:rPr>
        <w:t>监察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  <w:u w:val="none"/>
          <w:lang w:val="en-US" w:eastAsia="zh-CN"/>
        </w:rPr>
        <w:t>组长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顾清魁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城管局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副局长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主要职责：负责常态化创建工作检查指导、督查落实工作，对创建任务、重点项目推进情况组织专项督查指导，对创建工作进行常态化督查推进等，通报问题、实施奖惩，对创建工作中不作为、慢作为、乱作为和失职、渎职等人员实施问责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u w:val="none"/>
        </w:rPr>
        <w:t>（三）宣传教育组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侯平江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sz w:val="32"/>
          <w:szCs w:val="32"/>
          <w:u w:val="none"/>
        </w:rPr>
        <w:t>委宣传部副部长</w:t>
      </w:r>
    </w:p>
    <w:p>
      <w:pPr>
        <w:pStyle w:val="12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副组长：李性德  县教体局副局长</w:t>
      </w:r>
    </w:p>
    <w:p>
      <w:pPr>
        <w:pStyle w:val="12"/>
        <w:wordWrap/>
        <w:adjustRightInd/>
        <w:snapToGrid/>
        <w:spacing w:before="0" w:after="0" w:line="560" w:lineRule="exact"/>
        <w:ind w:left="0" w:leftChars="0" w:right="0" w:firstLine="168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张秀宽  县卫建委副主任</w:t>
      </w:r>
    </w:p>
    <w:p>
      <w:pPr>
        <w:pStyle w:val="12"/>
        <w:wordWrap/>
        <w:adjustRightInd/>
        <w:snapToGrid/>
        <w:spacing w:before="0" w:after="0" w:line="560" w:lineRule="exact"/>
        <w:ind w:left="0" w:leftChars="0" w:right="0" w:firstLine="1680" w:firstLineChars="0"/>
        <w:textAlignment w:val="auto"/>
        <w:outlineLvl w:val="9"/>
        <w:rPr>
          <w:rFonts w:hint="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曹增松  县委宣传部副主任科员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主要职责：负责常态化创建工作新闻媒体宣传报道，市民素质教育提升、未成年人思想道德建设、公益广告宣传、核心价值观培育引领工作，城市公共资源宣传氛围营造工作，动员全民参与创建活动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u w:val="none"/>
        </w:rPr>
        <w:t>等。</w:t>
      </w:r>
    </w:p>
    <w:p>
      <w:pPr>
        <w:pStyle w:val="12"/>
        <w:widowControl/>
        <w:wordWrap/>
        <w:adjustRightInd/>
        <w:snapToGrid/>
        <w:spacing w:before="0" w:after="0" w:line="560" w:lineRule="exact"/>
        <w:ind w:left="0" w:leftChars="0" w:right="0" w:firstLine="640" w:firstLine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交通秩序整治组</w:t>
      </w:r>
    </w:p>
    <w:p>
      <w:pPr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史承晔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县公安局政委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659" w:firstLineChars="52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交通运输局局长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县公安局、县交通运输局主管副职及赊店镇镇长、赵河街道办事处主任、潘河街道办事处主任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主要职责:负责县城主次干道、背街小巷、城中村、城乡结合部、公路沿线、出入市口交通秩序整治等工作推进。</w:t>
      </w:r>
    </w:p>
    <w:p>
      <w:pPr>
        <w:pStyle w:val="12"/>
        <w:numPr>
          <w:ilvl w:val="0"/>
          <w:numId w:val="1"/>
        </w:numPr>
        <w:wordWrap/>
        <w:adjustRightInd/>
        <w:snapToGrid/>
        <w:spacing w:before="0" w:after="0" w:line="560" w:lineRule="exact"/>
        <w:ind w:left="0" w:leftChars="0" w:right="0" w:firstLine="640" w:firstLine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环境卫生组</w:t>
      </w:r>
    </w:p>
    <w:p>
      <w:pPr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县城管局局长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副组长：县城管局主管副职及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赊店镇镇长、潘河街道办事处主任、赵河街道办事处主任</w:t>
      </w:r>
    </w:p>
    <w:p>
      <w:pPr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乡村创建组</w:t>
      </w:r>
    </w:p>
    <w:p>
      <w:pPr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夏中畅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县农业农村局局长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副组长：县农业农村局、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县乡村振兴局主管副职及各乡镇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）乡镇长（办事处主任）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主要职责:负责全县16个乡镇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所在地及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行政村文明创建工作;负责通往乡镇主干道沿线及农村人居环境整治;负责镇区卫生、交通、市场环境秩序治理;建设乡镇、村综合文化中心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资金保障组</w:t>
      </w:r>
    </w:p>
    <w:p>
      <w:pPr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张伟斌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县财政局局长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各乡镇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）乡镇长（办事处主任）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主要职责:负责全县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及各乡镇（街道）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文明城市创建的资金保障。</w:t>
      </w:r>
    </w:p>
    <w:p>
      <w:pPr>
        <w:pStyle w:val="12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pStyle w:val="12"/>
        <w:rPr>
          <w:rFonts w:hint="eastAsia"/>
        </w:rPr>
      </w:pPr>
    </w:p>
    <w:p>
      <w:pPr>
        <w:pStyle w:val="12"/>
        <w:ind w:left="0" w:leftChars="0" w:firstLine="0" w:firstLineChars="0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u w:val="none"/>
        </w:rPr>
        <w:t>附件2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u w:val="none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val="en-US"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领导联系乡镇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常态化创建工作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责任制一览表</w:t>
      </w:r>
    </w:p>
    <w:tbl>
      <w:tblPr>
        <w:tblStyle w:val="8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797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</w:rPr>
              <w:t>序号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</w:rPr>
              <w:t>领导姓名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</w:rPr>
              <w:t>联系分包乡镇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lang w:val="en-US" w:eastAsia="zh-CN"/>
              </w:rPr>
              <w:t>街道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李哲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郝寨镇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2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张黎晓、夏牧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饶良镇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3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邱国彦、王承磊、文献充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赊店镇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4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黄静、王东旭、王辉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唐庄乡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5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许晓燕、张宛黎、吴凯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潘河街道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6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张少瀛、李景元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赵河街道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7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王金宝、苑黎民、张山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陌陂镇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8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包海竣、刘玉庚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苗店镇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9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李淑琳、刘群才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桥头镇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10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陈晓鹏、黄远芳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朱集镇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11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赵向龙、姚军、白国辉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大冯营镇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12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崔振世、苟万贵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太和镇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13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张海涛、刘元众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兴隆镇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14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杜鑫、陈俊伟、宋庆伟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下洼镇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15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张耀一、李贺峰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晋庄镇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16</w:t>
            </w:r>
          </w:p>
        </w:tc>
        <w:tc>
          <w:tcPr>
            <w:tcW w:w="379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刘宏钊、王玉合</w:t>
            </w:r>
          </w:p>
        </w:tc>
        <w:tc>
          <w:tcPr>
            <w:tcW w:w="3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李店镇</w:t>
            </w:r>
          </w:p>
        </w:tc>
      </w:tr>
    </w:tbl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440" w:leftChars="0" w:right="0" w:hanging="440" w:hanging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val="en-US"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领导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val="en-US" w:eastAsia="zh-CN"/>
        </w:rPr>
        <w:t>分包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中心城区社区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行政村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  <w:lang w:eastAsia="zh-CN"/>
        </w:rPr>
        <w:t>）</w:t>
      </w:r>
    </w:p>
    <w:tbl>
      <w:tblPr>
        <w:tblStyle w:val="8"/>
        <w:tblpPr w:leftFromText="180" w:rightFromText="180" w:vertAnchor="page" w:horzAnchor="page" w:tblpX="1998" w:tblpY="430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33"/>
        <w:gridCol w:w="25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乡镇（街道）</w:t>
            </w: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社区（行政村）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分包领导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赊店镇（8个社区）</w:t>
            </w: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东裕社区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牌坊社区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邱国彦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福寿社区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尚营社区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崔振世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永安社区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白国辉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老街社区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王承磊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泰山社区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兴隆社区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文献充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3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潘河街道（3个行政村）</w:t>
            </w: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望东庄村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 xml:space="preserve">许晓燕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柳营村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张宛黎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双庄村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吴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3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赵河街道（3个行政村）</w:t>
            </w: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河南街村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张少瀛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谭营村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李景元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代营村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-105" w:leftChars="-5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王玉合</w:t>
            </w:r>
          </w:p>
        </w:tc>
      </w:tr>
    </w:tbl>
    <w:p>
      <w:pPr>
        <w:widowControl w:val="0"/>
        <w:wordWrap/>
        <w:adjustRightInd/>
        <w:snapToGrid/>
        <w:spacing w:before="0" w:after="0" w:line="520" w:lineRule="exact"/>
        <w:ind w:left="440" w:leftChars="0" w:right="0" w:hanging="440" w:hangingChars="100"/>
        <w:jc w:val="center"/>
        <w:textAlignment w:val="auto"/>
        <w:outlineLvl w:val="9"/>
        <w:rPr>
          <w:rFonts w:hint="eastAsia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u w:val="none"/>
        </w:rPr>
        <w:t>常态化创建工作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责任制一览表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  <w:pict>
          <v:line id="直线 10" o:spid="_x0000_s1028" o:spt="20" style="position:absolute;left:0pt;margin-left:-0.75pt;margin-top:503.35pt;height:0.05pt;width:442.1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  <w:pict>
          <v:line id="直线 12" o:spid="_x0000_s1029" o:spt="20" style="position:absolute;left:0pt;margin-left:-0.75pt;margin-top:19.5pt;height:0.05pt;width:442.1pt;z-index:2516613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pict>
          <v:line id="直线 1027" o:spid="_x0000_s1030" o:spt="20" style="position:absolute;left:0pt;flip:y;margin-left:-10.65pt;margin-top:496.85pt;height:0.1pt;width:452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中共社旗县委办公室　　　　　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</w:t>
      </w:r>
    </w:p>
    <w:sectPr>
      <w:footerReference r:id="rId3" w:type="default"/>
      <w:footerReference r:id="rId4" w:type="even"/>
      <w:pgSz w:w="11906" w:h="16838"/>
      <w:pgMar w:top="2154" w:right="1417" w:bottom="1928" w:left="1644" w:header="851" w:footer="1587" w:gutter="0"/>
      <w:paperSrc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2" o:spid="_x0000_s2049" o:spt="202" type="#_x0000_t202" style="position:absolute;left:0pt;margin-left:392.25pt;margin-top:-6pt;height:18.15pt;width:35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3" o:spid="_x0000_s2050" o:spt="202" type="#_x0000_t202" style="position:absolute;left:0pt;margin-left:16.5pt;margin-top:-6pt;height:18.15pt;width:35pt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1BBC5"/>
    <w:multiLevelType w:val="singleLevel"/>
    <w:tmpl w:val="6221BBC5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ABA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customStyle="1" w:styleId="10">
    <w:name w:val="Body Text1"/>
    <w:basedOn w:val="1"/>
    <w:qFormat/>
    <w:uiPriority w:val="0"/>
    <w:pPr>
      <w:spacing w:before="63"/>
      <w:ind w:left="114"/>
    </w:pPr>
    <w:rPr>
      <w:rFonts w:ascii="仿宋_GB2312" w:hAnsi="仿宋_GB2312" w:eastAsia="仿宋_GB2312"/>
      <w:sz w:val="32"/>
      <w:szCs w:val="32"/>
    </w:rPr>
  </w:style>
  <w:style w:type="paragraph" w:customStyle="1" w:styleId="11">
    <w:name w:val="Body Text Indent"/>
    <w:basedOn w:val="1"/>
    <w:qFormat/>
    <w:uiPriority w:val="0"/>
    <w:pPr>
      <w:ind w:left="420" w:leftChars="200"/>
    </w:pPr>
  </w:style>
  <w:style w:type="paragraph" w:customStyle="1" w:styleId="12">
    <w:name w:val="Body Text First Indent 2"/>
    <w:basedOn w:val="11"/>
    <w:qFormat/>
    <w:uiPriority w:val="0"/>
    <w:pPr>
      <w:widowControl/>
      <w:spacing w:after="120"/>
      <w:ind w:firstLine="420"/>
      <w:jc w:val="left"/>
    </w:pPr>
    <w:rPr>
      <w:rFonts w:ascii="Calibri" w:hAnsi="Calibri" w:eastAsia="仿宋"/>
      <w:color w:val="00B050"/>
      <w:kern w:val="0"/>
      <w:sz w:val="24"/>
      <w:lang w:eastAsia="en-US" w:bidi="en-US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2021-04-02T03:18:00Z</dcterms:created>
  <dc:creator>小马过河</dc:creator>
  <cp:lastModifiedBy>Administrator</cp:lastModifiedBy>
  <cp:lastPrinted>2021-05-10T08:04:00Z</cp:lastPrinted>
  <dcterms:modified xsi:type="dcterms:W3CDTF">2022-03-22T09:31:40Z</dcterms:modified>
  <dc:title>中共社旗县委  社旗县人民政府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FDE904860B064F35BD1D2B984C7D71E2</vt:lpwstr>
  </property>
</Properties>
</file>